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Asset condition report</w:t>
      </w:r>
    </w:p>
    <w:p>
      <w:pPr>
        <w:spacing w:after="60"/>
      </w:pPr>
      <w:r>
        <w:rPr>
          <w:rFonts w:ascii="Familjen Grotesk" w:cs="Familjen Grotesk" w:eastAsia="Familjen Grotesk" w:hAnsi="Familjen Grotesk"/>
          <w:b/>
          <w:bCs/>
          <w:sz w:val="26"/>
          <w:szCs w:val="26"/>
        </w:rPr>
        <w:t xml:space="preserve">All concessions</w:t>
      </w:r>
    </w:p>
    <w:p>
      <w:pPr>
        <w:spacing w:after="240"/>
      </w:pPr>
      <w:r>
        <w:rPr>
          <w:color w:val="646c87"/>
        </w:rPr>
        <w:t xml:space="preserve">Year to date, January to October 2026. Issued 22 October 2026.</w:t>
      </w:r>
    </w:p>
    <w:p>
      <w:pPr>
        <w:pBdr>
          <w:left w:val="single" w:color="27008f" w:sz="18" w:space="8"/>
        </w:pBdr>
        <w:shd w:fill="f5f0ff" w:color="auto" w:val="clear"/>
        <w:spacing w:after="200" w:before="120"/>
      </w:pPr>
      <w:r>
        <w:rPr>
          <w:b/>
          <w:bCs/>
          <w:color w:val="27008f"/>
        </w:rPr>
        <w:t xml:space="preserve">Demo data. </w:t>
      </w:r>
      <w:r>
        <w:t xml:space="preserve">Illustrative figures for nine concessions, year to date January to October 2026. Changes compare October with September. Trends, forecasts and AI predictions are generated for the demo. Do not use these figures for decisions.</w:t>
      </w:r>
    </w:p>
    <w:p>
      <w:pPr>
        <w:pStyle w:val="Heading2"/>
      </w:pPr>
      <w:r>
        <w:t xml:space="preserve">Summary</w:t>
      </w:r>
    </w:p>
    <w:p>
      <w:pPr>
        <w:spacing w:after="160"/>
      </w:pPr>
      <w:r>
        <w:t xml:space="preserve">This report sets out the condition of the network and its upkeep: the network condition index, preventive maintenance against plan, and assets at risk of failure.</w:t>
      </w:r>
    </w:p>
    <w:p>
      <w:pPr>
        <w:spacing w:after="160"/>
      </w:pPr>
      <w:r>
        <w:t xml:space="preserve">The group is on watch for asset condition and maintenance: 1 of 2 headline KPIs on target. Network condition index is 85% against a target of 85% or higher (on target). Preventive maintenance on time is 89% against a target of 90% or higher (watch). Of 12 supporting indicators, 1 is on target, 11 on watch and 0 off target. Furthest from target for Network condition index: Ruta 27, A23 Beira Interior, Costa Arauco.</w:t>
      </w:r>
    </w:p>
    <w:p>
      <w:pPr>
        <w:pStyle w:val="Heading2"/>
      </w:pPr>
      <w:r>
        <w:t xml:space="preserve">Headline KPIs</w:t>
      </w:r>
    </w:p>
    <w:tbl>
      <w:tblPr>
        <w:tblW w:type="dxa" w:w="9706"/>
        <w:tblBorders>
          <w:top w:val="none" w:color="FFFFFF" w:sz="0"/>
          <w:left w:val="none" w:color="FFFFFF" w:sz="0"/>
          <w:bottom w:val="none" w:color="FFFFFF" w:sz="0"/>
          <w:right w:val="none" w:color="FFFFFF" w:sz="0"/>
          <w:insideH w:val="none" w:color="FFFFFF" w:sz="0"/>
          <w:insideV w:val="single" w:color="FFFFFF" w:sz="12"/>
        </w:tblBorders>
        <w:tblLayout w:type="fixed"/>
      </w:tblPr>
      <w:tblGrid>
        <w:gridCol w:w="4853"/>
        <w:gridCol w:w="4853"/>
      </w:tblGrid>
      <w:tr>
        <w:tc>
          <w:tcPr>
            <w:tcW w:type="dxa" w:w="4853"/>
            <w:shd w:fill="f3f5fb" w:color="auto" w:val="clear"/>
            <w:tcMar>
              <w:top w:type="dxa" w:w="140"/>
              <w:left w:type="dxa" w:w="180"/>
              <w:bottom w:type="dxa" w:w="140"/>
              <w:right w:type="dxa" w:w="180"/>
            </w:tcMar>
          </w:tcPr>
          <w:p>
            <w:r>
              <w:rPr>
                <w:color w:val="646c87"/>
                <w:sz w:val="18"/>
                <w:szCs w:val="18"/>
              </w:rPr>
              <w:t xml:space="preserve">Network condition index</w:t>
            </w:r>
          </w:p>
          <w:p>
            <w:pPr>
              <w:spacing w:after="40" w:before="60"/>
            </w:pPr>
            <w:r>
              <w:rPr>
                <w:rFonts w:ascii="Familjen Grotesk" w:cs="Familjen Grotesk" w:eastAsia="Familjen Grotesk" w:hAnsi="Familjen Grotesk"/>
                <w:b/>
                <w:bCs/>
                <w:color w:val="101348"/>
                <w:sz w:val="40"/>
                <w:szCs w:val="40"/>
              </w:rPr>
              <w:t xml:space="preserve">85%</w:t>
            </w:r>
          </w:p>
          <w:p>
            <w:r>
              <w:rPr>
                <w:b/>
                <w:bCs/>
                <w:color w:val="006345"/>
              </w:rPr>
              <w:t xml:space="preserve">● On target</w:t>
            </w:r>
            <w:r>
              <w:rPr>
                <w:color w:val="646c87"/>
                <w:sz w:val="18"/>
                <w:szCs w:val="18"/>
              </w:rPr>
              <w:t xml:space="preserve">   Target 85% or higher</w:t>
            </w:r>
          </w:p>
        </w:tc>
        <w:tc>
          <w:tcPr>
            <w:tcW w:type="dxa" w:w="4853"/>
            <w:shd w:fill="f3f5fb" w:color="auto" w:val="clear"/>
            <w:tcMar>
              <w:top w:type="dxa" w:w="140"/>
              <w:left w:type="dxa" w:w="180"/>
              <w:bottom w:type="dxa" w:w="140"/>
              <w:right w:type="dxa" w:w="180"/>
            </w:tcMar>
          </w:tcPr>
          <w:p>
            <w:r>
              <w:rPr>
                <w:color w:val="646c87"/>
                <w:sz w:val="18"/>
                <w:szCs w:val="18"/>
              </w:rPr>
              <w:t xml:space="preserve">Preventive maintenance on time</w:t>
            </w:r>
          </w:p>
          <w:p>
            <w:pPr>
              <w:spacing w:after="40" w:before="60"/>
            </w:pPr>
            <w:r>
              <w:rPr>
                <w:rFonts w:ascii="Familjen Grotesk" w:cs="Familjen Grotesk" w:eastAsia="Familjen Grotesk" w:hAnsi="Familjen Grotesk"/>
                <w:b/>
                <w:bCs/>
                <w:color w:val="101348"/>
                <w:sz w:val="40"/>
                <w:szCs w:val="40"/>
              </w:rPr>
              <w:t xml:space="preserve">89%</w:t>
            </w:r>
          </w:p>
          <w:p>
            <w:r>
              <w:rPr>
                <w:b/>
                <w:bCs/>
                <w:color w:val="734f00"/>
              </w:rPr>
              <w:t xml:space="preserve">● Watch</w:t>
            </w:r>
            <w:r>
              <w:rPr>
                <w:color w:val="646c87"/>
                <w:sz w:val="18"/>
                <w:szCs w:val="18"/>
              </w:rPr>
              <w:t xml:space="preserve">   Target 90% or higher</w:t>
            </w:r>
          </w:p>
        </w:tc>
      </w:tr>
    </w:tbl>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KPI</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Value</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Target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Status</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Change vs September</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Network condition index, in good condition (pavement, structures, slopes)</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85%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+1 pt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Preventive maintenance on time, of planned tasks</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90%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−2 pts</w:t>
            </w:r>
          </w:p>
        </w:tc>
      </w:tr>
    </w:tbl>
    <w:p/>
    <w:p>
      <w:pPr>
        <w:pStyle w:val="Heading2"/>
      </w:pPr>
      <w:r>
        <w:t xml:space="preserve">Network condition index by concession</w:t>
      </w:r>
    </w:p>
    <w:p>
      <w:pPr>
        <w:spacing w:after="160"/>
      </w:pPr>
      <w:r>
        <w:t xml:space="preserve">Every concession against the target of 85% or higher, furthest from target first.</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4448"/>
        <w:gridCol w:w="2628"/>
        <w:gridCol w:w="2628"/>
      </w:tblGrid>
      <w:tr>
        <w:trPr>
          <w:tblHeader/>
        </w:trPr>
        <w:tc>
          <w:tcPr>
            <w:tcW w:type="dxa" w:w="444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Concession</w:t>
            </w:r>
          </w:p>
        </w:tc>
        <w:tc>
          <w:tcPr>
            <w:tcW w:type="dxa" w:w="262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Value</w:t>
            </w:r>
          </w:p>
        </w:tc>
        <w:tc>
          <w:tcPr>
            <w:tcW w:type="dxa" w:w="262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Status</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Ruta 27</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78%</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Off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A23 Beira Interior</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83%</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Costa Arauco</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84%</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ACEGA / AP-53</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86%</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Transmontana</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87%</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Ruta Portuaria</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88%</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M50</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89%</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Pocahontas Parkway</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91%</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Concesiones de Madrid</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92%</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bl>
    <w:p/>
    <w:p>
      <w:pPr>
        <w:pStyle w:val="Heading2"/>
      </w:pPr>
      <w:r>
        <w:t xml:space="preserve">Preventive maintenance on time by concession</w:t>
      </w:r>
    </w:p>
    <w:p>
      <w:pPr>
        <w:spacing w:after="160"/>
      </w:pPr>
      <w:r>
        <w:t xml:space="preserve">Every concession against the target of 90% or higher, furthest from target first.</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4448"/>
        <w:gridCol w:w="2628"/>
        <w:gridCol w:w="2628"/>
      </w:tblGrid>
      <w:tr>
        <w:trPr>
          <w:tblHeader/>
        </w:trPr>
        <w:tc>
          <w:tcPr>
            <w:tcW w:type="dxa" w:w="444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Concession</w:t>
            </w:r>
          </w:p>
        </w:tc>
        <w:tc>
          <w:tcPr>
            <w:tcW w:type="dxa" w:w="262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Value</w:t>
            </w:r>
          </w:p>
        </w:tc>
        <w:tc>
          <w:tcPr>
            <w:tcW w:type="dxa" w:w="262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Status</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Ruta 27</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81%</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Off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Ruta Portuaria</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84%</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Off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Costa Arauco</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86%</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A23 Beira Interior</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88%</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ACEGA / AP-53</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91%</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Transmontana</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92%</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M50</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93%</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Pocahontas Parkway</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94%</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Concesiones de Madrid</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95%</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bl>
    <w:p/>
    <w:p>
      <w:pPr>
        <w:pStyle w:val="Heading2"/>
      </w:pPr>
      <w:r>
        <w:t xml:space="preserve">Supporting indicators</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Indicator</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Value</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Target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Status</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Three-month trend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Pavement in good condition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85%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Improving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Structures in good condition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90%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Improving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Slopes in good condition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80%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Steady</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Backlog, open work orders</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1,240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1,000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Improving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Backlog, average age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38 days</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30 days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MTBF, critical assets</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142 days</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150 days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MTTR, critical assets</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 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8.0 h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Improving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Repeat failures on the same asset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5.0%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Improving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Drainage and flooding events, YTD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12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Improving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Crew utilisation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80%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Fleet utilisation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75%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Work orders closed on mobile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90%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bl>
    <w:p/>
    <w:p>
      <w:pPr>
        <w:pStyle w:val="Heading2"/>
      </w:pPr>
      <w:r>
        <w:t xml:space="preserve">Early warnings</w:t>
      </w:r>
    </w:p>
    <w:p>
      <w:pPr>
        <w:pBdr>
          <w:left w:val="single" w:color="27008f" w:sz="18" w:space="8"/>
        </w:pBdr>
        <w:shd w:fill="f5f0ff" w:color="auto" w:val="clear"/>
        <w:spacing w:after="200" w:before="120"/>
      </w:pPr>
      <w:r>
        <w:rPr>
          <w:b/>
          <w:bCs/>
          <w:color w:val="27008f"/>
        </w:rPr>
        <w:t xml:space="preserve">Generated prediction. </w:t>
      </w:r>
      <w:r>
        <w:t xml:space="preserve">These forecasts are generated for the demo. No prediction model is connected yet.</w:t>
      </w:r>
    </w:p>
    <w:p>
      <w:pPr>
        <w:pStyle w:val="ListParagraph"/>
        <w:numPr>
          <w:ilvl w:val="0"/>
          <w:numId w:val="1"/>
        </w:numPr>
        <w:spacing w:after="80"/>
      </w:pPr>
      <w:r>
        <w:t xml:space="preserve">126 assets at risk of failure in the next 30 days.</w:t>
      </w:r>
    </w:p>
    <w:p>
      <w:pPr>
        <w:pStyle w:val="ListParagraph"/>
        <w:numPr>
          <w:ilvl w:val="0"/>
          <w:numId w:val="1"/>
        </w:numPr>
        <w:spacing w:after="80"/>
      </w:pPr>
      <w:r>
        <w:t xml:space="preserve">68% of predicted failures prevented.</w:t>
      </w:r>
    </w:p>
    <w:p>
      <w:pPr>
        <w:pStyle w:val="Heading2"/>
      </w:pPr>
      <w:r>
        <w:t xml:space="preserve">About this report</w:t>
      </w:r>
    </w:p>
    <w:p>
      <w:pPr>
        <w:pStyle w:val="ListParagraph"/>
        <w:numPr>
          <w:ilvl w:val="0"/>
          <w:numId w:val="1"/>
        </w:numPr>
        <w:spacing w:after="80"/>
      </w:pPr>
      <w:r>
        <w:t xml:space="preserve">Period: Year to date, January to October 2026. Changes compare October with September.</w:t>
      </w:r>
    </w:p>
    <w:p>
      <w:pPr>
        <w:pStyle w:val="ListParagraph"/>
        <w:numPr>
          <w:ilvl w:val="0"/>
          <w:numId w:val="1"/>
        </w:numPr>
        <w:spacing w:after="80"/>
      </w:pPr>
      <w:r>
        <w:t xml:space="preserve">On target meets the approved target. Watch is between the target and the watch threshold. Off target is beyond the watch threshold.</w:t>
      </w:r>
    </w:p>
    <w:p>
      <w:pPr>
        <w:pStyle w:val="ListParagraph"/>
        <w:numPr>
          <w:ilvl w:val="0"/>
          <w:numId w:val="1"/>
        </w:numPr>
        <w:spacing w:after="80"/>
      </w:pPr>
      <w:r>
        <w:t xml:space="preserve">A theme takes the status of its weakest headline KPI.</w:t>
      </w:r>
    </w:p>
    <w:p>
      <w:pPr>
        <w:pStyle w:val="ListParagraph"/>
        <w:numPr>
          <w:ilvl w:val="0"/>
          <w:numId w:val="1"/>
        </w:numPr>
        <w:spacing w:after="80"/>
      </w:pPr>
      <w:r>
        <w:t xml:space="preserve">Platform requirements covered (tender references): INS-01–06, MNT-01–12, RES-01, RAM (optional).</w:t>
      </w:r>
    </w:p>
    <w:sectPr>
      <w:headerReference w:type="default" r:id="rId6"/>
      <w:footerReference w:type="default" r:id="rId7"/>
      <w:pgSz w:w="11906" w:h="16838" w:orient="portrait"/>
      <w:pgMar w:top="12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pilogue">
    <w:family w:val="auto"/>
    <w:pitch w:val="variable"/>
    <w:sig w:usb0="E0002AFF" w:usb1="C000247B" w:usb2="00000009" w:usb3="00000000" w:csb0="000001FF" w:csb1="00000000"/>
    <w:embedRegular r:id="rId1" w:fontKey="{6E4A799F-25E3-7FD1-8BF1-34CFE7909894}"/>
    <w:embedBold r:id="rId2" w:fontKey="{042C252C-FE30-BE00-3D47-D3C687C9831E}"/>
  </w:font>
  <w:font w:name="Familjen Grotesk">
    <w:family w:val="auto"/>
    <w:pitch w:val="variable"/>
    <w:sig w:usb0="E0002AFF" w:usb1="C000247B" w:usb2="00000009" w:usb3="00000000" w:csb0="000001FF" w:csb1="00000000"/>
    <w:embedRegular r:id="rId3" w:fontKey="{959D26BE-9E49-B8D3-1B94-C4D9F0F74FE2}"/>
    <w:embedBold r:id="rId4" w:fontKey="{4BC607CC-332E-2FD9-F22C-7B569DFCB03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6c87"/>
        <w:sz w:val="16"/>
        <w:szCs w:val="16"/>
      </w:rPr>
      <w:t xml:space="preserve">Asset condition report, All concessions. Demo data.   Page </w:t>
    </w:r>
    <w:r>
      <w:rPr>
        <w:color w:val="646c87"/>
        <w:sz w:val="16"/>
        <w:szCs w:val="16"/>
      </w:rPr>
      <w:fldChar w:fldCharType="begin"/>
    </w:r>
    <w:r>
      <w:rPr>
        <w:color w:val="646c87"/>
        <w:sz w:val="16"/>
        <w:szCs w:val="16"/>
      </w:rPr>
      <w:instrText xml:space="preserve">PAGE</w:instrText>
    </w:r>
    <w:r>
      <w:rPr>
        <w:color w:val="646c87"/>
        <w:sz w:val="16"/>
        <w:szCs w:val="16"/>
      </w:rPr>
      <w:fldChar w:fldCharType="separate"/>
    </w:r>
    <w:r>
      <w:rPr>
        <w:color w:val="646c87"/>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Familjen Grotesk" w:cs="Familjen Grotesk" w:eastAsia="Familjen Grotesk" w:hAnsi="Familjen Grotesk"/>
        <w:b/>
        <w:bCs/>
        <w:color w:val="27008f"/>
        <w:sz w:val="16"/>
        <w:szCs w:val="16"/>
      </w:rPr>
      <w:t xml:space="preserve">#oneTRL Platform</w:t>
    </w:r>
    <w:r>
      <w:rPr>
        <w:color w:val="646c87"/>
        <w:sz w:val="16"/>
        <w:szCs w:val="16"/>
      </w:rPr>
      <w:t xml:space="preserve">   Globalvia headquarters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pilogue" w:cs="Epilogue" w:eastAsia="Epilogue" w:hAnsi="Epilogue"/>
        <w:color w:val="101348"/>
        <w:sz w:val="20"/>
        <w:szCs w:val="20"/>
      </w:rPr>
    </w:rPrDefault>
    <w:pPrDefault>
      <w:pPr>
        <w:spacing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rFonts w:ascii="Familjen Grotesk" w:cs="Familjen Grotesk" w:eastAsia="Familjen Grotesk" w:hAnsi="Familjen Grotesk"/>
      <w:b/>
      <w:bCs/>
      <w:color w:val="101348"/>
      <w:sz w:val="48"/>
      <w:szCs w:val="48"/>
    </w:rPr>
  </w:style>
  <w:style w:type="paragraph" w:styleId="Heading2">
    <w:name w:val="Heading 2"/>
    <w:basedOn w:val="Normal"/>
    <w:next w:val="Normal"/>
    <w:qFormat/>
    <w:pPr>
      <w:keepNext/>
      <w:spacing w:after="120" w:before="360"/>
    </w:pPr>
    <w:rPr>
      <w:rFonts w:ascii="Familjen Grotesk" w:cs="Familjen Grotesk" w:eastAsia="Familjen Grotesk" w:hAnsi="Familjen Grotesk"/>
      <w:b/>
      <w:bCs/>
      <w:color w:val="27008f"/>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Asset condition report: All concessions</dc:title>
  <dc:creator>#oneTRL Platform</dc:creator>
  <dc:description>Year to date, January to October 2026</dc:description>
  <cp:lastModifiedBy>Un-named</cp:lastModifiedBy>
  <cp:revision>1</cp:revision>
  <dcterms:created xsi:type="dcterms:W3CDTF">2026-10-22T22:20:52.336Z</dcterms:created>
  <dcterms:modified xsi:type="dcterms:W3CDTF">2026-10-22T22:20:52.336Z</dcterms:modified>
</cp:coreProperties>
</file>

<file path=docProps/custom.xml><?xml version="1.0" encoding="utf-8"?>
<Properties xmlns="http://schemas.openxmlformats.org/officeDocument/2006/custom-properties" xmlns:vt="http://schemas.openxmlformats.org/officeDocument/2006/docPropsVTypes"/>
</file>