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changed digest</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October 2026 compared with September.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Style w:val="Heading2"/>
      </w:pPr>
      <w:r>
        <w:t xml:space="preserve">Summary</w:t>
      </w:r>
    </w:p>
    <w:p>
      <w:pPr>
        <w:spacing w:after="160"/>
      </w:pPr>
      <w:r>
        <w:t xml:space="preserve">14 changes need attention and 15 are improvements, comparing October with September. 3 concern contract obligations and 2 concern data feeds.</w:t>
      </w:r>
    </w:p>
    <w:p>
      <w:pPr>
        <w:pStyle w:val="Heading2"/>
      </w:pPr>
      <w:r>
        <w:t xml:space="preserve">Needs attention: status changes</w:t>
      </w:r>
    </w:p>
    <w:p>
      <w:pPr>
        <w:pStyle w:val="ListParagraph"/>
        <w:numPr>
          <w:ilvl w:val="0"/>
          <w:numId w:val="1"/>
        </w:numPr>
        <w:spacing w:after="80"/>
      </w:pPr>
      <w:r>
        <w:t xml:space="preserve">ACEGA / AP-53: data quality score slipped to watch. 95 in September, 92 in October (on target before).</w:t>
      </w:r>
    </w:p>
    <w:p>
      <w:pPr>
        <w:pStyle w:val="ListParagraph"/>
        <w:numPr>
          <w:ilvl w:val="0"/>
          <w:numId w:val="1"/>
        </w:numPr>
        <w:spacing w:after="80"/>
      </w:pPr>
      <w:r>
        <w:t xml:space="preserve">ACEGA / AP-53: workforce accident frequency slipped to watch. 3.0 in September, 3.3 in October (on target before).</w:t>
      </w:r>
    </w:p>
    <w:p>
      <w:pPr>
        <w:pStyle w:val="ListParagraph"/>
        <w:numPr>
          <w:ilvl w:val="0"/>
          <w:numId w:val="1"/>
        </w:numPr>
        <w:spacing w:after="80"/>
      </w:pPr>
      <w:r>
        <w:t xml:space="preserve">A23 Beira Interior: preventive maintenance on time slipped to watch. 91% in September, 88% in October (on target before).</w:t>
      </w:r>
    </w:p>
    <w:p>
      <w:pPr>
        <w:pStyle w:val="ListParagraph"/>
        <w:numPr>
          <w:ilvl w:val="0"/>
          <w:numId w:val="1"/>
        </w:numPr>
        <w:spacing w:after="80"/>
      </w:pPr>
      <w:r>
        <w:t xml:space="preserve">Costa Arauco: overall SLA compliance slipped to watch. 96.2% in September, 94.2% in October (on target before).</w:t>
      </w:r>
    </w:p>
    <w:p>
      <w:pPr>
        <w:pStyle w:val="ListParagraph"/>
        <w:numPr>
          <w:ilvl w:val="0"/>
          <w:numId w:val="1"/>
        </w:numPr>
        <w:spacing w:after="80"/>
      </w:pPr>
      <w:r>
        <w:t xml:space="preserve">Costa Arauco: killed or seriously injured slipped to watch. 1.9 in September, 2.1 in October (on target before).</w:t>
      </w:r>
    </w:p>
    <w:p>
      <w:pPr>
        <w:pStyle w:val="ListParagraph"/>
        <w:numPr>
          <w:ilvl w:val="0"/>
          <w:numId w:val="1"/>
        </w:numPr>
        <w:spacing w:after="80"/>
      </w:pPr>
      <w:r>
        <w:t xml:space="preserve">Costa Arauco: network condition index slipped to watch. 86% in September, 84% in October (on target before).</w:t>
      </w:r>
    </w:p>
    <w:p>
      <w:pPr>
        <w:pStyle w:val="ListParagraph"/>
        <w:numPr>
          <w:ilvl w:val="0"/>
          <w:numId w:val="1"/>
        </w:numPr>
        <w:spacing w:after="80"/>
      </w:pPr>
      <w:r>
        <w:t xml:space="preserve">Group: preventive maintenance on time slipped to watch. 91% in September, 89% in October (on target before).</w:t>
      </w:r>
    </w:p>
    <w:p>
      <w:pPr>
        <w:pStyle w:val="ListParagraph"/>
        <w:numPr>
          <w:ilvl w:val="0"/>
          <w:numId w:val="1"/>
        </w:numPr>
        <w:spacing w:after="80"/>
      </w:pPr>
      <w:r>
        <w:t xml:space="preserve">A23 Beira Interior: data quality score slipped to watch. 96 in September, 94 in October (on target before).</w:t>
      </w:r>
    </w:p>
    <w:p>
      <w:pPr>
        <w:pStyle w:val="ListParagraph"/>
        <w:numPr>
          <w:ilvl w:val="0"/>
          <w:numId w:val="1"/>
        </w:numPr>
        <w:spacing w:after="80"/>
      </w:pPr>
      <w:r>
        <w:t xml:space="preserve">Group: budget variance, YTD slipped to watch. +1.4% in September, +2.5% in October (on target before).</w:t>
      </w:r>
    </w:p>
    <w:p>
      <w:pPr>
        <w:pStyle w:val="ListParagraph"/>
        <w:numPr>
          <w:ilvl w:val="0"/>
          <w:numId w:val="1"/>
        </w:numPr>
        <w:spacing w:after="80"/>
      </w:pPr>
      <w:r>
        <w:t xml:space="preserve">Pocahontas Parkway: full-year cost forecast slipped to watch. 98.8% in September, 100.2% in October (on target before).</w:t>
      </w:r>
    </w:p>
    <w:p>
      <w:pPr>
        <w:pStyle w:val="Heading2"/>
      </w:pPr>
      <w:r>
        <w:t xml:space="preserve">Needs attention: contract</w:t>
      </w:r>
    </w:p>
    <w:p>
      <w:pPr>
        <w:pStyle w:val="ListParagraph"/>
        <w:numPr>
          <w:ilvl w:val="0"/>
          <w:numId w:val="1"/>
        </w:numPr>
        <w:spacing w:after="80"/>
      </w:pPr>
      <w:r>
        <w:t xml:space="preserve">Ruta 27: annual deduction cap reached. €12k of further deductions not charged this year. Breaches still count against performance.</w:t>
      </w:r>
    </w:p>
    <w:p>
      <w:pPr>
        <w:pStyle w:val="ListParagraph"/>
        <w:numPr>
          <w:ilvl w:val="0"/>
          <w:numId w:val="1"/>
        </w:numPr>
        <w:spacing w:after="80"/>
      </w:pPr>
      <w:r>
        <w:t xml:space="preserve">Ruta Portuaria: new breach of incident response. 84.4% in October against a threshold of 85.0%. Provisional deduction €27.</w:t>
      </w:r>
    </w:p>
    <w:p>
      <w:pPr>
        <w:pStyle w:val="Heading2"/>
      </w:pPr>
      <w:r>
        <w:t xml:space="preserve">Needs attention: data feeds</w:t>
      </w:r>
    </w:p>
    <w:p>
      <w:pPr>
        <w:pStyle w:val="ListParagraph"/>
        <w:numPr>
          <w:ilvl w:val="0"/>
          <w:numId w:val="1"/>
        </w:numPr>
        <w:spacing w:after="80"/>
      </w:pPr>
      <w:r>
        <w:t xml:space="preserve">Costs (ERP) feed is late. Last refresh 26 h ago. KPIs built on it may be out of date.</w:t>
      </w:r>
    </w:p>
    <w:p>
      <w:pPr>
        <w:pStyle w:val="ListParagraph"/>
        <w:numPr>
          <w:ilvl w:val="0"/>
          <w:numId w:val="1"/>
        </w:numPr>
        <w:spacing w:after="80"/>
      </w:pPr>
      <w:r>
        <w:t xml:space="preserve">Costs (ERP): quality score 86. Below the threshold of 90. Treat figures from this source with care.</w:t>
      </w:r>
    </w:p>
    <w:p>
      <w:pPr>
        <w:pStyle w:val="Heading2"/>
      </w:pPr>
      <w:r>
        <w:t xml:space="preserve">Early warnings</w:t>
      </w:r>
    </w:p>
    <w:p>
      <w:pPr>
        <w:pBdr>
          <w:left w:val="single" w:color="27008f" w:sz="18" w:space="8"/>
        </w:pBdr>
        <w:shd w:fill="f5f0ff" w:color="auto" w:val="clear"/>
        <w:spacing w:after="200" w:before="120"/>
      </w:pPr>
      <w:r>
        <w:rPr>
          <w:b/>
          <w:bCs/>
          <w:color w:val="27008f"/>
        </w:rPr>
        <w:t xml:space="preserve">Generated prediction. </w:t>
      </w:r>
      <w:r>
        <w:t xml:space="preserve">These forecasts are generated for the demo. No prediction model is connected yet.</w:t>
      </w:r>
    </w:p>
    <w:p>
      <w:pPr>
        <w:pStyle w:val="ListParagraph"/>
        <w:numPr>
          <w:ilvl w:val="0"/>
          <w:numId w:val="1"/>
        </w:numPr>
        <w:spacing w:after="80"/>
      </w:pPr>
      <w:r>
        <w:t xml:space="preserve">6 road sections at high collision risk in the next 7 days.</w:t>
      </w:r>
    </w:p>
    <w:p>
      <w:pPr>
        <w:pStyle w:val="ListParagraph"/>
        <w:numPr>
          <w:ilvl w:val="0"/>
          <w:numId w:val="1"/>
        </w:numPr>
        <w:spacing w:after="80"/>
      </w:pPr>
      <w:r>
        <w:t xml:space="preserve">18 items likely to breach their SLA in the next 24 hours.</w:t>
      </w:r>
    </w:p>
    <w:p>
      <w:pPr>
        <w:pStyle w:val="ListParagraph"/>
        <w:numPr>
          <w:ilvl w:val="0"/>
          <w:numId w:val="1"/>
        </w:numPr>
        <w:spacing w:after="80"/>
      </w:pPr>
      <w:r>
        <w:t xml:space="preserve">€2.21M forecast year-end overspend (+1.9% of budget), flagged from month 3–4.</w:t>
      </w:r>
    </w:p>
    <w:p>
      <w:pPr>
        <w:pStyle w:val="ListParagraph"/>
        <w:numPr>
          <w:ilvl w:val="0"/>
          <w:numId w:val="1"/>
        </w:numPr>
        <w:spacing w:after="80"/>
      </w:pPr>
      <w:r>
        <w:t xml:space="preserve">126 assets at risk of failure in the next 30 days.</w:t>
      </w:r>
    </w:p>
    <w:p>
      <w:pPr>
        <w:pStyle w:val="Heading2"/>
      </w:pPr>
      <w:r>
        <w:t xml:space="preserve">Improvements</w:t>
      </w:r>
    </w:p>
    <w:p>
      <w:pPr>
        <w:pStyle w:val="ListParagraph"/>
        <w:numPr>
          <w:ilvl w:val="0"/>
          <w:numId w:val="1"/>
        </w:numPr>
        <w:spacing w:after="80"/>
      </w:pPr>
      <w:r>
        <w:t xml:space="preserve">Group: full-year cost forecast recovered to watch. 102.4% in September, 101.9% in October (off target before).</w:t>
      </w:r>
    </w:p>
    <w:p>
      <w:pPr>
        <w:pStyle w:val="ListParagraph"/>
        <w:numPr>
          <w:ilvl w:val="0"/>
          <w:numId w:val="1"/>
        </w:numPr>
        <w:spacing w:after="80"/>
      </w:pPr>
      <w:r>
        <w:t xml:space="preserve">Ruta 27: lane availability recovered to watch. 98.4% in September, 98.6% in October (off target before).</w:t>
      </w:r>
    </w:p>
    <w:p>
      <w:pPr>
        <w:pStyle w:val="ListParagraph"/>
        <w:numPr>
          <w:ilvl w:val="0"/>
          <w:numId w:val="1"/>
        </w:numPr>
        <w:spacing w:after="80"/>
      </w:pPr>
      <w:r>
        <w:t xml:space="preserve">Costa Arauco: preventive maintenance on time recovered to watch. 84% in September, 86% in October (off target before).</w:t>
      </w:r>
    </w:p>
    <w:p>
      <w:pPr>
        <w:pStyle w:val="ListParagraph"/>
        <w:numPr>
          <w:ilvl w:val="0"/>
          <w:numId w:val="1"/>
        </w:numPr>
        <w:spacing w:after="80"/>
      </w:pPr>
      <w:r>
        <w:t xml:space="preserve">Ruta 27: killed or seriously injured recovered to watch. 2.6 in September, 2.3 in October (off target before).</w:t>
      </w:r>
    </w:p>
    <w:p>
      <w:pPr>
        <w:pStyle w:val="ListParagraph"/>
        <w:numPr>
          <w:ilvl w:val="0"/>
          <w:numId w:val="1"/>
        </w:numPr>
        <w:spacing w:after="80"/>
      </w:pPr>
      <w:r>
        <w:t xml:space="preserve">Ruta Portuaria: budget variance, YTD recovered to watch. +6.3% in September, +4.2% in October (off target before).</w:t>
      </w:r>
    </w:p>
    <w:p>
      <w:pPr>
        <w:pStyle w:val="ListParagraph"/>
        <w:numPr>
          <w:ilvl w:val="0"/>
          <w:numId w:val="1"/>
        </w:numPr>
        <w:spacing w:after="80"/>
      </w:pPr>
      <w:r>
        <w:t xml:space="preserve">ACEGA / AP-53: full-year cost forecast recovered to on target. 100.7% in September, 99.1% in October (watch before).</w:t>
      </w:r>
    </w:p>
    <w:p>
      <w:pPr>
        <w:pStyle w:val="ListParagraph"/>
        <w:numPr>
          <w:ilvl w:val="0"/>
          <w:numId w:val="1"/>
        </w:numPr>
        <w:spacing w:after="80"/>
      </w:pPr>
      <w:r>
        <w:t xml:space="preserve">Group: KPI confidence recovered to watch. 89% in September, 93% in October (off target before).</w:t>
      </w:r>
    </w:p>
    <w:p>
      <w:pPr>
        <w:pStyle w:val="ListParagraph"/>
        <w:numPr>
          <w:ilvl w:val="0"/>
          <w:numId w:val="1"/>
        </w:numPr>
        <w:spacing w:after="80"/>
      </w:pPr>
      <w:r>
        <w:t xml:space="preserve">Transmontana: KPI confidence recovered to on target. 94% in September, 97% in October (watch before).</w:t>
      </w:r>
    </w:p>
    <w:p>
      <w:pPr>
        <w:pStyle w:val="ListParagraph"/>
        <w:numPr>
          <w:ilvl w:val="0"/>
          <w:numId w:val="1"/>
        </w:numPr>
        <w:spacing w:after="80"/>
      </w:pPr>
      <w:r>
        <w:t xml:space="preserve">Group: workforce accident frequency recovered to on target. 3.2 in September, 2.9 in October (watch before).</w:t>
      </w:r>
    </w:p>
    <w:p>
      <w:pPr>
        <w:pStyle w:val="ListParagraph"/>
        <w:numPr>
          <w:ilvl w:val="0"/>
          <w:numId w:val="1"/>
        </w:numPr>
        <w:spacing w:after="80"/>
      </w:pPr>
      <w:r>
        <w:t xml:space="preserve">M50: budget variance, YTD recovered to on target. +3.1% in September, +1.8% in October (watch before).</w:t>
      </w:r>
    </w:p>
    <w:p>
      <w:pPr>
        <w:pStyle w:val="ListParagraph"/>
        <w:numPr>
          <w:ilvl w:val="0"/>
          <w:numId w:val="1"/>
        </w:numPr>
        <w:spacing w:after="80"/>
      </w:pPr>
      <w:r>
        <w:t xml:space="preserve">Group: overall SLA compliance recovered to on target. 94.7% in September, 95.0% in October (watch before).</w:t>
      </w:r>
    </w:p>
    <w:p>
      <w:pPr>
        <w:pStyle w:val="ListParagraph"/>
        <w:numPr>
          <w:ilvl w:val="0"/>
          <w:numId w:val="1"/>
        </w:numPr>
        <w:spacing w:after="80"/>
      </w:pPr>
      <w:r>
        <w:t xml:space="preserve">Group: network condition index recovered to on target. 84% in September, 85% in October (watch before).</w:t>
      </w:r>
    </w:p>
    <w:p>
      <w:pPr>
        <w:pStyle w:val="ListParagraph"/>
        <w:numPr>
          <w:ilvl w:val="0"/>
          <w:numId w:val="1"/>
        </w:numPr>
        <w:spacing w:after="80"/>
      </w:pPr>
      <w:r>
        <w:t xml:space="preserve">M50: data quality score recovered to on target. 92 in September, 95 in October (watch before).</w:t>
      </w:r>
    </w:p>
    <w:p>
      <w:pPr>
        <w:pStyle w:val="ListParagraph"/>
        <w:numPr>
          <w:ilvl w:val="0"/>
          <w:numId w:val="1"/>
        </w:numPr>
        <w:spacing w:after="80"/>
      </w:pPr>
      <w:r>
        <w:t xml:space="preserve">A23 Beira Interior: KPI confidence recovered to on target. 92% in September, 95% in October (watch before).</w:t>
      </w:r>
    </w:p>
    <w:p>
      <w:pPr>
        <w:pStyle w:val="ListParagraph"/>
        <w:numPr>
          <w:ilvl w:val="0"/>
          <w:numId w:val="1"/>
        </w:numPr>
        <w:spacing w:after="80"/>
      </w:pPr>
      <w:r>
        <w:t xml:space="preserve">M50: emergency phones back within contract. 98.3% in October after a breach in September.</w:t>
      </w:r>
    </w:p>
    <w:p>
      <w:pPr>
        <w:pStyle w:val="Heading2"/>
      </w:pPr>
      <w:r>
        <w:t xml:space="preserve">About this digest</w:t>
      </w:r>
    </w:p>
    <w:p>
      <w:pPr>
        <w:pStyle w:val="ListParagraph"/>
        <w:numPr>
          <w:ilvl w:val="0"/>
          <w:numId w:val="1"/>
        </w:numPr>
        <w:spacing w:after="80"/>
      </w:pPr>
      <w:r>
        <w:t xml:space="preserve">Status changes compare each headline KPI’s status in October with September, for the group and every concession in scope.</w:t>
      </w:r>
    </w:p>
    <w:p>
      <w:pPr>
        <w:pStyle w:val="ListParagraph"/>
        <w:numPr>
          <w:ilvl w:val="0"/>
          <w:numId w:val="1"/>
        </w:numPr>
        <w:spacing w:after="80"/>
      </w:pPr>
      <w:r>
        <w:t xml:space="preserve">Sharp moves are changes at least as large as the gap between a KPI’s target and its watch threshold, without a change of status.</w:t>
      </w:r>
    </w:p>
    <w:p>
      <w:pPr>
        <w:pStyle w:val="ListParagraph"/>
        <w:numPr>
          <w:ilvl w:val="0"/>
          <w:numId w:val="1"/>
        </w:numPr>
        <w:spacing w:after="80"/>
      </w:pPr>
      <w:r>
        <w:t xml:space="preserve">Contract items are new breaches or recoveries in October, and concessions at 75% or more of their annual deduction cap.</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373ED543-E2D9-AB2D-3836-27521C657AAE}"/>
    <w:embedBold r:id="rId2" w:fontKey="{7DC2B651-EF4C-B3FF-828D-59DC53895D74}"/>
  </w:font>
  <w:font w:name="Familjen Grotesk">
    <w:family w:val="auto"/>
    <w:pitch w:val="variable"/>
    <w:sig w:usb0="E0002AFF" w:usb1="C000247B" w:usb2="00000009" w:usb3="00000000" w:csb0="000001FF" w:csb1="00000000"/>
    <w:embedRegular r:id="rId3" w:fontKey="{5B21D5AC-23D2-7DAB-A544-A3D0AF7E3898}"/>
    <w:embedBold r:id="rId4" w:fontKey="{28867411-B752-915B-57B7-D74A1074DC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What changed digest,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changed digest: All concessions</dc:title>
  <dc:creator>#oneTRL Platform</dc:creator>
  <dc:description>October 2026 compared with September</dc:description>
  <cp:lastModifiedBy>Un-named</cp:lastModifiedBy>
  <cp:revision>1</cp:revision>
  <dcterms:created xsi:type="dcterms:W3CDTF">2026-10-22T21:46:57.524Z</dcterms:created>
  <dcterms:modified xsi:type="dcterms:W3CDTF">2026-10-22T21:46:57.524Z</dcterms:modified>
</cp:coreProperties>
</file>

<file path=docProps/custom.xml><?xml version="1.0" encoding="utf-8"?>
<Properties xmlns="http://schemas.openxmlformats.org/officeDocument/2006/custom-properties" xmlns:vt="http://schemas.openxmlformats.org/officeDocument/2006/docPropsVTypes"/>
</file>