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Contract compliance evidence pack</w:t>
      </w:r>
    </w:p>
    <w:p>
      <w:pPr>
        <w:spacing w:after="60"/>
      </w:pPr>
      <w:r>
        <w:rPr>
          <w:rFonts w:ascii="Familjen Grotesk" w:cs="Familjen Grotesk" w:eastAsia="Familjen Grotesk" w:hAnsi="Familjen Grotesk"/>
          <w:b/>
          <w:bCs/>
          <w:sz w:val="26"/>
          <w:szCs w:val="26"/>
        </w:rPr>
        <w:t xml:space="preserve">ACEGA / AP-53</w:t>
      </w:r>
    </w:p>
    <w:p>
      <w:pPr>
        <w:spacing w:after="240"/>
      </w:pPr>
      <w:r>
        <w:rPr>
          <w:color w:val="646c87"/>
        </w:rPr>
        <w:t xml:space="preserve">Contract 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Bdr>
          <w:left w:val="single" w:color="27008f" w:sz="18" w:space="8"/>
        </w:pBdr>
        <w:shd w:fill="f5f0ff" w:color="auto" w:val="clear"/>
        <w:spacing w:after="200" w:before="120"/>
      </w:pPr>
      <w:r>
        <w:rPr>
          <w:b/>
          <w:bCs/>
          <w:color w:val="27008f"/>
        </w:rPr>
        <w:t xml:space="preserve">Illustrative contract terms. </w:t>
      </w:r>
      <w:r>
        <w:t xml:space="preserve">Obligations, thresholds, deduction rates and clause references are examples, not taken from any concession contract.</w:t>
      </w:r>
    </w:p>
    <w:p>
      <w:pPr>
        <w:pStyle w:val="Heading2"/>
      </w:pPr>
      <w:r>
        <w:t xml:space="preserve">Summary</w:t>
      </w:r>
    </w:p>
    <w:p>
      <w:pPr>
        <w:spacing w:after="160"/>
      </w:pPr>
      <w:r>
        <w:t xml:space="preserve">Deductions so far this contract year come to €53k: €44k settled, €5k notified and open to dispute, and €4k provisional. At the rate of the last three months the year ends at €63k. 40% of the annual cap of €135k is used. 4 obligations were below threshold in October, 2 with gaps in the evidence.</w:t>
      </w:r>
    </w:p>
    <w:p>
      <w:pPr>
        <w:pStyle w:val="Heading2"/>
      </w:pPr>
      <w:r>
        <w:t xml:space="preserve">By obligation</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454"/>
        <w:gridCol w:w="1450"/>
        <w:gridCol w:w="1450"/>
        <w:gridCol w:w="1450"/>
        <w:gridCol w:w="1450"/>
        <w:gridCol w:w="1450"/>
      </w:tblGrid>
      <w:tr>
        <w:trPr>
          <w:tblHeader/>
        </w:trPr>
        <w:tc>
          <w:tcPr>
            <w:tcW w:type="dxa" w:w="245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Obligation</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Clause</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Threshold</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Measured in October</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Months below</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Deductions</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Lane availability</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6, 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99.0%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98.9%</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€32k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Incident response</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4, 3.2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85.0%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86.7%</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1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93.0%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2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87.3%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Safety inspections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2.3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91.7%</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Emergency phones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1.4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98.0%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96.9%</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Traveller information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3.1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most 8.0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7.0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bl>
    <w:p/>
    <w:p>
      <w:pPr>
        <w:pStyle w:val="Heading2"/>
      </w:pPr>
      <w:r>
        <w:t xml:space="preserve">Lane availability (Schedule 6, 2.1)</w:t>
      </w:r>
    </w:p>
    <w:p>
      <w:pPr>
        <w:spacing w:after="160"/>
      </w:pPr>
      <w:r>
        <w:t xml:space="preserve">Lanes open to traffic for at least 99.0% of scheduled lane-hours each month. Deduction: €1,500 per 0.1 point below 99.0%, scaled for network length. 10 months below threshold, €32k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Incident response (Schedule 4, 3.2)</w:t>
      </w:r>
    </w:p>
    <w:p>
      <w:pPr>
        <w:spacing w:after="160"/>
      </w:pPr>
      <w:r>
        <w:t xml:space="preserve">Patrol on scene within 20 minutes for at least 85% of incidents. Deduction: €600 per point below 85%,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Category 1 defects (Schedule 5, 4.1)</w:t>
      </w:r>
    </w:p>
    <w:p>
      <w:pPr>
        <w:spacing w:after="160"/>
      </w:pPr>
      <w:r>
        <w:t xml:space="preserve">At least 95% of category 1 defects made safe within 24 hours. Deduction: €750 per point below 95%, scaled for network length. 10 months below threshold, €9k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€470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€707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€521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€713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€783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Category 2 defects (Schedule 5, 4.2)</w:t>
      </w:r>
    </w:p>
    <w:p>
      <w:pPr>
        <w:spacing w:after="160"/>
      </w:pPr>
      <w:r>
        <w:t xml:space="preserve">At least 90% of category 2 defects repaired within 7 days. Deduction: €400 per point below 90%, scaled for network length. 10 months below threshold, €7k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€304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€392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€453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€821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€815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Safety inspections (Schedule 5, 2.3)</w:t>
      </w:r>
    </w:p>
    <w:p>
      <w:pPr>
        <w:spacing w:after="160"/>
      </w:pPr>
      <w:r>
        <w:t xml:space="preserve">At least 90% of scheduled safety inspections completed on time. Deduction: €250 per point below 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Emergency phones (Schedule 7, 1.4)</w:t>
      </w:r>
    </w:p>
    <w:p>
      <w:pPr>
        <w:spacing w:after="160"/>
      </w:pPr>
      <w:r>
        <w:t xml:space="preserve">SOS points working at least 98% of the time. Deduction: €500 per point below 98%, scaled for network length. 10 months below threshold, €5k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€535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€601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€602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€370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€574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€538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€482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Traveller information (Schedule 7, 3.1)</w:t>
      </w:r>
    </w:p>
    <w:p>
      <w:pPr>
        <w:spacing w:after="160"/>
      </w:pPr>
      <w:r>
        <w:t xml:space="preserve">Closures shown on message signs within 8 minutes (monthly median). Deduction: €400 per minute over 8 minutes,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5.5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6.1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6.7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6.3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6.2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6.8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6.8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Evidence for October</w:t>
      </w:r>
    </w:p>
    <w:p>
      <w:pPr>
        <w:pStyle w:val="ListParagraph"/>
        <w:numPr>
          <w:ilvl w:val="0"/>
          <w:numId w:val="1"/>
        </w:numPr>
        <w:spacing w:after="80"/>
      </w:pPr>
      <w:r>
        <w:t xml:space="preserve">Category 1 defects: 1 record missing (at least 95.0% required). Collect before the deduction is notified.</w:t>
      </w:r>
    </w:p>
    <w:p>
      <w:pPr>
        <w:pStyle w:val="ListParagraph"/>
        <w:numPr>
          <w:ilvl w:val="0"/>
          <w:numId w:val="1"/>
        </w:numPr>
        <w:spacing w:after="80"/>
      </w:pPr>
      <w:r>
        <w:t xml:space="preserve">Category 2 defects: 1 record missing (at least 90.0% required). Collect before the deduction is notified.</w:t>
      </w:r>
    </w:p>
    <w:p>
      <w:pPr>
        <w:pStyle w:val="Heading2"/>
      </w:pPr>
      <w:r>
        <w:t xml:space="preserve">How deductions are calculated</w:t>
      </w:r>
    </w:p>
    <w:p>
      <w:pPr>
        <w:pStyle w:val="ListParagraph"/>
        <w:numPr>
          <w:ilvl w:val="0"/>
          <w:numId w:val="1"/>
        </w:numPr>
        <w:spacing w:after="80"/>
      </w:pPr>
      <w:r>
        <w:t xml:space="preserve">Each obligation is assessed monthly against its threshold. A month below threshold costs the rate for each point (or minute) of shortfall.</w:t>
      </w:r>
    </w:p>
    <w:p>
      <w:pPr>
        <w:pStyle w:val="ListParagraph"/>
        <w:numPr>
          <w:ilvl w:val="0"/>
          <w:numId w:val="1"/>
        </w:numPr>
        <w:spacing w:after="80"/>
      </w:pPr>
      <w:r>
        <w:t xml:space="preserve">Rates are for a concession of average network length and scale with each concession’s length.</w:t>
      </w:r>
    </w:p>
    <w:p>
      <w:pPr>
        <w:pStyle w:val="ListParagraph"/>
        <w:numPr>
          <w:ilvl w:val="0"/>
          <w:numId w:val="1"/>
        </w:numPr>
        <w:spacing w:after="80"/>
      </w:pPr>
      <w:r>
        <w:t xml:space="preserve">Deductions stop once a concession reaches its annual cap. Amounts above the cap are recorded but not charged.</w:t>
      </w:r>
    </w:p>
    <w:p>
      <w:pPr>
        <w:pStyle w:val="ListParagraph"/>
        <w:numPr>
          <w:ilvl w:val="0"/>
          <w:numId w:val="1"/>
        </w:numPr>
        <w:spacing w:after="80"/>
      </w:pPr>
      <w:r>
        <w:t xml:space="preserve">September’s deductions have been notified and can be disputed; October’s are provisional until assessment.</w:t>
      </w:r>
    </w:p>
    <w:p>
      <w:pPr>
        <w:pStyle w:val="ListParagraph"/>
        <w:numPr>
          <w:ilvl w:val="0"/>
          <w:numId w:val="1"/>
        </w:numPr>
        <w:spacing w:after="80"/>
      </w:pPr>
      <w:r>
        <w:t xml:space="preserve">Concessions covered: ACEGA / AP-53.</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B67C210B-2375-7EFB-8EE0-489847C233AD}"/>
    <w:embedBold r:id="rId2" w:fontKey="{29DD2D57-CC10-09AC-D082-CC87984FB5A8}"/>
  </w:font>
  <w:font w:name="Familjen Grotesk">
    <w:family w:val="auto"/>
    <w:pitch w:val="variable"/>
    <w:sig w:usb0="E0002AFF" w:usb1="C000247B" w:usb2="00000009" w:usb3="00000000" w:csb0="000001FF" w:csb1="00000000"/>
    <w:embedRegular r:id="rId3" w:fontKey="{2FA2FA64-97E1-FA76-9952-E30FBE65A16A}"/>
    <w:embedBold r:id="rId4" w:fontKey="{B4EDB210-F34F-7AD1-8618-F95B34765E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Contract compliance evidence pack, ACEGA / AP-53.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compliance evidence pack: ACEGA / AP-53</dc:title>
  <dc:creator>#oneTRL Platform</dc:creator>
  <dc:description>Contract year to date, January to October 2026</dc:description>
  <cp:lastModifiedBy>Un-named</cp:lastModifiedBy>
  <cp:revision>1</cp:revision>
  <dcterms:created xsi:type="dcterms:W3CDTF">2026-10-22T22:26:14.040Z</dcterms:created>
  <dcterms:modified xsi:type="dcterms:W3CDTF">2026-10-22T22:26:14.040Z</dcterms:modified>
</cp:coreProperties>
</file>

<file path=docProps/custom.xml><?xml version="1.0" encoding="utf-8"?>
<Properties xmlns="http://schemas.openxmlformats.org/officeDocument/2006/custom-properties" xmlns:vt="http://schemas.openxmlformats.org/officeDocument/2006/docPropsVTypes"/>
</file>