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Costa Arauco</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€56k: €46k settled, €5k notified and open to dispute, and €5k provisional. At the rate of the last three months the year ends at €66k. 27% of the annual cap of €210k is used. 3 obligations were below threshold in October, 2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85.9%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92.6%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86.6%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91.2%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€166</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96.7%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7.2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10 months below threshold, €31k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10 months below threshold, €17k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2 months below threshold, €166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10 months below threshold, €7k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€505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€738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pStyle w:val="ListParagraph"/>
        <w:numPr>
          <w:ilvl w:val="0"/>
          <w:numId w:val="1"/>
        </w:numPr>
        <w:spacing w:after="80"/>
      </w:pPr>
      <w:r>
        <w:t xml:space="preserve">Category 1 defects: 2 records missing (at least 95.0% required). Collect before the deduction is notified.</w:t>
      </w:r>
    </w:p>
    <w:p>
      <w:pPr>
        <w:pStyle w:val="ListParagraph"/>
        <w:numPr>
          <w:ilvl w:val="0"/>
          <w:numId w:val="1"/>
        </w:numPr>
        <w:spacing w:after="80"/>
      </w:pPr>
      <w:r>
        <w:t xml:space="preserve">Emergency phones: 4 records missing (at least 98.0%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Costa Arauco.</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3F009625-F1EE-A645-013C-0BEDEE91F847}"/>
    <w:embedBold r:id="rId2" w:fontKey="{C60C0830-E24C-6F30-9513-119D84A16BB7}"/>
  </w:font>
  <w:font w:name="Familjen Grotesk">
    <w:family w:val="auto"/>
    <w:pitch w:val="variable"/>
    <w:sig w:usb0="E0002AFF" w:usb1="C000247B" w:usb2="00000009" w:usb3="00000000" w:csb0="000001FF" w:csb1="00000000"/>
    <w:embedRegular r:id="rId3" w:fontKey="{91904A01-CCF0-D7CC-F56C-AE036B61A7B3}"/>
    <w:embedBold r:id="rId4" w:fontKey="{774F792A-9D5E-4E08-3503-8B43F4B7E0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Costa Arauco.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Costa Arauco</dc:title>
  <dc:creator>#oneTRL Platform</dc:creator>
  <dc:description>Contract year to date, January to October 2026</dc:description>
  <cp:lastModifiedBy>Un-named</cp:lastModifiedBy>
  <cp:revision>1</cp:revision>
  <dcterms:created xsi:type="dcterms:W3CDTF">2026-10-22T22:26:27.288Z</dcterms:created>
  <dcterms:modified xsi:type="dcterms:W3CDTF">2026-10-22T22:26:27.288Z</dcterms:modified>
</cp:coreProperties>
</file>

<file path=docProps/custom.xml><?xml version="1.0" encoding="utf-8"?>
<Properties xmlns="http://schemas.openxmlformats.org/officeDocument/2006/custom-properties" xmlns:vt="http://schemas.openxmlformats.org/officeDocument/2006/docPropsVTypes"/>
</file>