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SLA compliance report</w:t>
      </w:r>
    </w:p>
    <w:p>
      <w:pPr>
        <w:spacing w:after="60"/>
      </w:pPr>
      <w:r>
        <w:rPr>
          <w:rFonts w:ascii="Familjen Grotesk" w:cs="Familjen Grotesk" w:eastAsia="Familjen Grotesk" w:hAnsi="Familjen Grotesk"/>
          <w:b/>
          <w:bCs/>
          <w:sz w:val="26"/>
          <w:szCs w:val="26"/>
        </w:rPr>
        <w:t xml:space="preserve">All concessions</w:t>
      </w:r>
    </w:p>
    <w:p>
      <w:pPr>
        <w:spacing w:after="240"/>
      </w:pPr>
      <w:r>
        <w:rPr>
          <w:color w:val="646c87"/>
        </w:rPr>
        <w:t xml:space="preserve">Year to date, January to October 2026. Issued 22 October 2026.</w:t>
      </w:r>
    </w:p>
    <w:p>
      <w:pPr>
        <w:pBdr>
          <w:left w:val="single" w:color="27008f" w:sz="18" w:space="8"/>
        </w:pBdr>
        <w:shd w:fill="f5f0ff" w:color="auto" w:val="clear"/>
        <w:spacing w:after="200" w:before="120"/>
      </w:pPr>
      <w:r>
        <w:rPr>
          <w:b/>
          <w:bCs/>
          <w:color w:val="27008f"/>
        </w:rPr>
        <w:t xml:space="preserve">Demo data. </w:t>
      </w:r>
      <w:r>
        <w:t xml:space="preserve">Illustrative figures for nine concessions, year to date January to October 2026. Changes compare October with September. Trends, forecasts and AI predictions are generated for the demo. Do not use these figures for decisions.</w:t>
      </w:r>
    </w:p>
    <w:p>
      <w:pPr>
        <w:pStyle w:val="Heading2"/>
      </w:pPr>
      <w:r>
        <w:t xml:space="preserve">Summary</w:t>
      </w:r>
    </w:p>
    <w:p>
      <w:pPr>
        <w:spacing w:after="160"/>
      </w:pPr>
      <w:r>
        <w:t xml:space="preserve">This report sets out performance against the service levels in each concession contract: SLA compliance, lane availability, the incident response chain and the penalty exposure they create.</w:t>
      </w:r>
    </w:p>
    <w:p>
      <w:pPr>
        <w:spacing w:after="160"/>
      </w:pPr>
      <w:r>
        <w:t xml:space="preserve">The group is on target for service levels: 2 of 2 headline KPIs on target. Overall SLA compliance is 95.0% against a target of 95.0% or higher (on target). Lane availability is 99.1% against a target of 99.0% or higher (on target). Of 11 supporting indicators, 2 are on target, 5 on watch and 4 off target. Furthest from target for Overall SLA compliance: Ruta 27, Ruta Portuaria, ACEGA / AP-53.</w:t>
      </w:r>
    </w:p>
    <w:p>
      <w:pPr>
        <w:pStyle w:val="Heading2"/>
      </w:pPr>
      <w:r>
        <w:t xml:space="preserve">Headline KPIs</w:t>
      </w:r>
    </w:p>
    <w:tbl>
      <w:tblPr>
        <w:tblW w:type="dxa" w:w="9706"/>
        <w:tblBorders>
          <w:top w:val="none" w:color="FFFFFF" w:sz="0"/>
          <w:left w:val="none" w:color="FFFFFF" w:sz="0"/>
          <w:bottom w:val="none" w:color="FFFFFF" w:sz="0"/>
          <w:right w:val="none" w:color="FFFFFF" w:sz="0"/>
          <w:insideH w:val="none" w:color="FFFFFF" w:sz="0"/>
          <w:insideV w:val="single" w:color="FFFFFF" w:sz="12"/>
        </w:tblBorders>
        <w:tblLayout w:type="fixed"/>
      </w:tblPr>
      <w:tblGrid>
        <w:gridCol w:w="4853"/>
        <w:gridCol w:w="4853"/>
      </w:tblGrid>
      <w:tr>
        <w:tc>
          <w:tcPr>
            <w:tcW w:type="dxa" w:w="4853"/>
            <w:shd w:fill="f3f5fb" w:color="auto" w:val="clear"/>
            <w:tcMar>
              <w:top w:type="dxa" w:w="140"/>
              <w:left w:type="dxa" w:w="180"/>
              <w:bottom w:type="dxa" w:w="140"/>
              <w:right w:type="dxa" w:w="180"/>
            </w:tcMar>
          </w:tcPr>
          <w:p>
            <w:r>
              <w:rPr>
                <w:color w:val="646c87"/>
                <w:sz w:val="18"/>
                <w:szCs w:val="18"/>
              </w:rPr>
              <w:t xml:space="preserve">Overall SLA compliance</w:t>
            </w:r>
          </w:p>
          <w:p>
            <w:pPr>
              <w:spacing w:after="40" w:before="60"/>
            </w:pPr>
            <w:r>
              <w:rPr>
                <w:rFonts w:ascii="Familjen Grotesk" w:cs="Familjen Grotesk" w:eastAsia="Familjen Grotesk" w:hAnsi="Familjen Grotesk"/>
                <w:b/>
                <w:bCs/>
                <w:color w:val="101348"/>
                <w:sz w:val="40"/>
                <w:szCs w:val="40"/>
              </w:rPr>
              <w:t xml:space="preserve">95.0%</w:t>
            </w:r>
          </w:p>
          <w:p>
            <w:r>
              <w:rPr>
                <w:b/>
                <w:bCs/>
                <w:color w:val="006345"/>
              </w:rPr>
              <w:t xml:space="preserve">● On target</w:t>
            </w:r>
            <w:r>
              <w:rPr>
                <w:color w:val="646c87"/>
                <w:sz w:val="18"/>
                <w:szCs w:val="18"/>
              </w:rPr>
              <w:t xml:space="preserve">   Target 95.0% or higher</w:t>
            </w:r>
          </w:p>
        </w:tc>
        <w:tc>
          <w:tcPr>
            <w:tcW w:type="dxa" w:w="4853"/>
            <w:shd w:fill="f3f5fb" w:color="auto" w:val="clear"/>
            <w:tcMar>
              <w:top w:type="dxa" w:w="140"/>
              <w:left w:type="dxa" w:w="180"/>
              <w:bottom w:type="dxa" w:w="140"/>
              <w:right w:type="dxa" w:w="180"/>
            </w:tcMar>
          </w:tcPr>
          <w:p>
            <w:r>
              <w:rPr>
                <w:color w:val="646c87"/>
                <w:sz w:val="18"/>
                <w:szCs w:val="18"/>
              </w:rPr>
              <w:t xml:space="preserve">Lane availability</w:t>
            </w:r>
          </w:p>
          <w:p>
            <w:pPr>
              <w:spacing w:after="40" w:before="60"/>
            </w:pPr>
            <w:r>
              <w:rPr>
                <w:rFonts w:ascii="Familjen Grotesk" w:cs="Familjen Grotesk" w:eastAsia="Familjen Grotesk" w:hAnsi="Familjen Grotesk"/>
                <w:b/>
                <w:bCs/>
                <w:color w:val="101348"/>
                <w:sz w:val="40"/>
                <w:szCs w:val="40"/>
              </w:rPr>
              <w:t xml:space="preserve">99.1%</w:t>
            </w:r>
          </w:p>
          <w:p>
            <w:r>
              <w:rPr>
                <w:b/>
                <w:bCs/>
                <w:color w:val="006345"/>
              </w:rPr>
              <w:t xml:space="preserve">● On target</w:t>
            </w:r>
            <w:r>
              <w:rPr>
                <w:color w:val="646c87"/>
                <w:sz w:val="18"/>
                <w:szCs w:val="18"/>
              </w:rPr>
              <w:t xml:space="preserve">   Target 99.0% or higher</w:t>
            </w:r>
          </w:p>
        </w:tc>
      </w:tr>
    </w:tbl>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KPI</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Value</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Target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Status</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Change vs September</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Overall SLA compliance, weighted by contract obligations</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95.0%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95.0% or higher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+0.3 pts</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Lane availability, of lane-hours open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99.0% or higher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−0.3 pts</w:t>
            </w:r>
          </w:p>
        </w:tc>
      </w:tr>
    </w:tbl>
    <w:p/>
    <w:p>
      <w:pPr>
        <w:pStyle w:val="Heading2"/>
      </w:pPr>
      <w:r>
        <w:t xml:space="preserve">Overall SLA compliance by concession</w:t>
      </w:r>
    </w:p>
    <w:p>
      <w:pPr>
        <w:spacing w:after="160"/>
      </w:pPr>
      <w:r>
        <w:t xml:space="preserve">Every concession against the target of 95.0% or higher, furthest from target first.</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4448"/>
        <w:gridCol w:w="2628"/>
        <w:gridCol w:w="2628"/>
      </w:tblGrid>
      <w:tr>
        <w:trPr>
          <w:tblHeader/>
        </w:trPr>
        <w:tc>
          <w:tcPr>
            <w:tcW w:type="dxa" w:w="4449"/>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Concession</w:t>
            </w:r>
          </w:p>
        </w:tc>
        <w:tc>
          <w:tcPr>
            <w:tcW w:type="dxa" w:w="2629"/>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Value</w:t>
            </w:r>
          </w:p>
        </w:tc>
        <w:tc>
          <w:tcPr>
            <w:tcW w:type="dxa" w:w="2629"/>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Status</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Ruta 27</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90.6%</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Off target</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Ruta Portuaria</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91.8%</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Off target</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ACEGA / AP-53</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93.1%</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Watch</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Costa Arauco</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94.2%</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Watch</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A23 Beira Interior</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95.4%</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Transmontana</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96.8%</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Pocahontas Parkway</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97.2%</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Concesiones de Madrid</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97.5%</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M50</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98.1%</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r>
    </w:tbl>
    <w:p/>
    <w:p>
      <w:pPr>
        <w:pStyle w:val="Heading2"/>
      </w:pPr>
      <w:r>
        <w:t xml:space="preserve">Lane availability by concession</w:t>
      </w:r>
    </w:p>
    <w:p>
      <w:pPr>
        <w:spacing w:after="160"/>
      </w:pPr>
      <w:r>
        <w:t xml:space="preserve">Every concession against the target of 99.0% or higher, furthest from target first.</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4448"/>
        <w:gridCol w:w="2628"/>
        <w:gridCol w:w="2628"/>
      </w:tblGrid>
      <w:tr>
        <w:trPr>
          <w:tblHeader/>
        </w:trPr>
        <w:tc>
          <w:tcPr>
            <w:tcW w:type="dxa" w:w="4449"/>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Concession</w:t>
            </w:r>
          </w:p>
        </w:tc>
        <w:tc>
          <w:tcPr>
            <w:tcW w:type="dxa" w:w="2629"/>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Value</w:t>
            </w:r>
          </w:p>
        </w:tc>
        <w:tc>
          <w:tcPr>
            <w:tcW w:type="dxa" w:w="2629"/>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Status</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Ruta 27</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98.6%</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Watch</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Concesiones de Madrid</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98.7%</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Watch</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ACEGA / AP-53</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98.9%</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Watch</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M50</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99.1%</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A23 Beira Interior</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99.2%</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Costa Arauco</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99.3%</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Transmontana</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99.4%</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Ruta Portuaria</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99.5%</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Pocahontas Parkway</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99.6%</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r>
    </w:tbl>
    <w:p/>
    <w:p>
      <w:pPr>
        <w:pStyle w:val="Heading2"/>
      </w:pPr>
      <w:r>
        <w:t xml:space="preserve">Incident response chain</w:t>
      </w:r>
    </w:p>
    <w:p>
      <w:pPr>
        <w:spacing w:after="160"/>
      </w:pPr>
      <w:r>
        <w:t xml:space="preserve">Each step from detecting an incident to clearing it, against its contractual deadline.</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Step</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Within SLA</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Median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SLA</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Status</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Detect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2.4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Dispatch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3.8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Watch</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Arrive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17.2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20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Off target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Clear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48.0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60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Off target</w:t>
            </w:r>
          </w:p>
        </w:tc>
      </w:tr>
    </w:tbl>
    <w:p/>
    <w:p>
      <w:pPr>
        <w:pStyle w:val="Heading2"/>
      </w:pPr>
      <w:r>
        <w:t xml:space="preserve">Supporting indicators</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Indicator</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Value</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Target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Status</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Three-month trend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Incident response chain within SLA (detect to clear)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95.0% or higher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Watch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Worsening</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Category 1 defects fixed within deadline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94.2%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98.0% or higher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Off target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Worsening</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Category 2 defects fixed within deadline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89.5%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95.0% or higher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Off target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Worsening</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Category 3 defects fixed within deadline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92.8%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95.0% or higher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Watch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Worsening</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Inspections completed on time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95.0% or higher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Watch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Worsening</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CCTV availability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99.0% or higher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Watch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Worsening</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VMS availability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99.0% or higher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Improving</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SOS point availability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97.4%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99.0% or higher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Off target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Improving</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Time to inform the public (VMS / DATEX II)</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6.4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5.0 min or lower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Watch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Worsening</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Call and case closure time, median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3.6 days</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5.0 days or lower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Worsening</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Penalty or deduction exposure, YTD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€400k</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€250k or lower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Off target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Worsening</w:t>
            </w:r>
          </w:p>
        </w:tc>
      </w:tr>
    </w:tbl>
    <w:p/>
    <w:p>
      <w:pPr>
        <w:pStyle w:val="Heading2"/>
      </w:pPr>
      <w:r>
        <w:t xml:space="preserve">Early warnings</w:t>
      </w:r>
    </w:p>
    <w:p>
      <w:pPr>
        <w:pBdr>
          <w:left w:val="single" w:color="27008f" w:sz="18" w:space="8"/>
        </w:pBdr>
        <w:shd w:fill="f5f0ff" w:color="auto" w:val="clear"/>
        <w:spacing w:after="200" w:before="120"/>
      </w:pPr>
      <w:r>
        <w:rPr>
          <w:b/>
          <w:bCs/>
          <w:color w:val="27008f"/>
        </w:rPr>
        <w:t xml:space="preserve">Generated prediction. </w:t>
      </w:r>
      <w:r>
        <w:t xml:space="preserve">These forecasts are generated for the demo. No prediction model is connected yet.</w:t>
      </w:r>
    </w:p>
    <w:p>
      <w:pPr>
        <w:pStyle w:val="ListParagraph"/>
        <w:numPr>
          <w:ilvl w:val="0"/>
          <w:numId w:val="1"/>
        </w:numPr>
        <w:spacing w:after="80"/>
      </w:pPr>
      <w:r>
        <w:t xml:space="preserve">18 items likely to breach their SLA in the next 24 hours.</w:t>
      </w:r>
    </w:p>
    <w:p>
      <w:pPr>
        <w:pStyle w:val="ListParagraph"/>
        <w:numPr>
          <w:ilvl w:val="0"/>
          <w:numId w:val="1"/>
        </w:numPr>
        <w:spacing w:after="80"/>
      </w:pPr>
      <w:r>
        <w:t xml:space="preserve">47 items likely to breach their SLA in the next 72 hours.</w:t>
      </w:r>
    </w:p>
    <w:p>
      <w:pPr>
        <w:pStyle w:val="ListParagraph"/>
        <w:numPr>
          <w:ilvl w:val="0"/>
          <w:numId w:val="1"/>
        </w:numPr>
        <w:spacing w:after="80"/>
      </w:pPr>
      <w:r>
        <w:t xml:space="preserve">71% of incidents detected automatically.</w:t>
      </w:r>
    </w:p>
    <w:p>
      <w:pPr>
        <w:pStyle w:val="Heading2"/>
      </w:pPr>
      <w:r>
        <w:t xml:space="preserve">About this report</w:t>
      </w:r>
    </w:p>
    <w:p>
      <w:pPr>
        <w:pStyle w:val="ListParagraph"/>
        <w:numPr>
          <w:ilvl w:val="0"/>
          <w:numId w:val="1"/>
        </w:numPr>
        <w:spacing w:after="80"/>
      </w:pPr>
      <w:r>
        <w:t xml:space="preserve">Period: Year to date, January to October 2026. Changes compare October with September.</w:t>
      </w:r>
    </w:p>
    <w:p>
      <w:pPr>
        <w:pStyle w:val="ListParagraph"/>
        <w:numPr>
          <w:ilvl w:val="0"/>
          <w:numId w:val="1"/>
        </w:numPr>
        <w:spacing w:after="80"/>
      </w:pPr>
      <w:r>
        <w:t xml:space="preserve">On target meets the approved target. Watch is between the target and the watch threshold. Off target is beyond the watch threshold.</w:t>
      </w:r>
    </w:p>
    <w:p>
      <w:pPr>
        <w:pStyle w:val="ListParagraph"/>
        <w:numPr>
          <w:ilvl w:val="0"/>
          <w:numId w:val="1"/>
        </w:numPr>
        <w:spacing w:after="80"/>
      </w:pPr>
      <w:r>
        <w:t xml:space="preserve">A theme takes the status of its weakest headline KPI.</w:t>
      </w:r>
    </w:p>
    <w:p>
      <w:pPr>
        <w:pStyle w:val="ListParagraph"/>
        <w:numPr>
          <w:ilvl w:val="0"/>
          <w:numId w:val="1"/>
        </w:numPr>
        <w:spacing w:after="80"/>
      </w:pPr>
      <w:r>
        <w:t xml:space="preserve">Platform requirements covered (tender references): TMC-08, TMC-12, TMC-15, INS-05, MNT-06, CALL-05.</w:t>
      </w:r>
    </w:p>
    <w:sectPr>
      <w:headerReference w:type="default" r:id="rId6"/>
      <w:footerReference w:type="default" r:id="rId7"/>
      <w:pgSz w:w="11906" w:h="16838" w:orient="portrait"/>
      <w:pgMar w:top="1200" w:right="1100" w:bottom="12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Epilogue">
    <w:family w:val="auto"/>
    <w:pitch w:val="variable"/>
    <w:sig w:usb0="E0002AFF" w:usb1="C000247B" w:usb2="00000009" w:usb3="00000000" w:csb0="000001FF" w:csb1="00000000"/>
    <w:embedRegular r:id="rId1" w:fontKey="{722798FA-434C-3FD4-B929-250621EB5822}"/>
    <w:embedBold r:id="rId2" w:fontKey="{5CBEE3B7-F61E-E96F-3BB8-26874D344989}"/>
  </w:font>
  <w:font w:name="Familjen Grotesk">
    <w:family w:val="auto"/>
    <w:pitch w:val="variable"/>
    <w:sig w:usb0="E0002AFF" w:usb1="C000247B" w:usb2="00000009" w:usb3="00000000" w:csb0="000001FF" w:csb1="00000000"/>
    <w:embedRegular r:id="rId3" w:fontKey="{57D033A3-990F-BF7A-AC2B-EE87948AF25A}"/>
    <w:embedBold r:id="rId4" w:fontKey="{F8915B0D-7953-C172-CCFC-A7EA68256B4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46c87"/>
        <w:sz w:val="16"/>
        <w:szCs w:val="16"/>
      </w:rPr>
      <w:t xml:space="preserve">SLA compliance report, All concessions. Demo data.   Page </w:t>
    </w:r>
    <w:r>
      <w:rPr>
        <w:color w:val="646c87"/>
        <w:sz w:val="16"/>
        <w:szCs w:val="16"/>
      </w:rPr>
      <w:fldChar w:fldCharType="begin"/>
    </w:r>
    <w:r>
      <w:rPr>
        <w:color w:val="646c87"/>
        <w:sz w:val="16"/>
        <w:szCs w:val="16"/>
      </w:rPr>
      <w:instrText xml:space="preserve">PAGE</w:instrText>
    </w:r>
    <w:r>
      <w:rPr>
        <w:color w:val="646c87"/>
        <w:sz w:val="16"/>
        <w:szCs w:val="16"/>
      </w:rPr>
      <w:fldChar w:fldCharType="separate"/>
    </w:r>
    <w:r>
      <w:rPr>
        <w:color w:val="646c87"/>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Familjen Grotesk" w:cs="Familjen Grotesk" w:eastAsia="Familjen Grotesk" w:hAnsi="Familjen Grotesk"/>
        <w:b/>
        <w:bCs/>
        <w:color w:val="27008f"/>
        <w:sz w:val="16"/>
        <w:szCs w:val="16"/>
      </w:rPr>
      <w:t xml:space="preserve">#oneTRL Platform</w:t>
    </w:r>
    <w:r>
      <w:rPr>
        <w:color w:val="646c87"/>
        <w:sz w:val="16"/>
        <w:szCs w:val="16"/>
      </w:rPr>
      <w:t xml:space="preserve">   Globalvia headquarters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Epilogue" w:cs="Epilogue" w:eastAsia="Epilogue" w:hAnsi="Epilogue"/>
        <w:color w:val="101348"/>
        <w:sz w:val="20"/>
        <w:szCs w:val="20"/>
      </w:rPr>
    </w:rPrDefault>
    <w:pPrDefault>
      <w:pPr>
        <w:spacing w:line="30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pPr>
      <w:spacing w:after="120"/>
    </w:pPr>
    <w:rPr>
      <w:rFonts w:ascii="Familjen Grotesk" w:cs="Familjen Grotesk" w:eastAsia="Familjen Grotesk" w:hAnsi="Familjen Grotesk"/>
      <w:b/>
      <w:bCs/>
      <w:color w:val="101348"/>
      <w:sz w:val="48"/>
      <w:szCs w:val="48"/>
    </w:rPr>
  </w:style>
  <w:style w:type="paragraph" w:styleId="Heading2">
    <w:name w:val="Heading 2"/>
    <w:basedOn w:val="Normal"/>
    <w:next w:val="Normal"/>
    <w:qFormat/>
    <w:pPr>
      <w:keepNext/>
      <w:spacing w:after="120" w:before="360"/>
    </w:pPr>
    <w:rPr>
      <w:rFonts w:ascii="Familjen Grotesk" w:cs="Familjen Grotesk" w:eastAsia="Familjen Grotesk" w:hAnsi="Familjen Grotesk"/>
      <w:b/>
      <w:bCs/>
      <w:color w:val="27008f"/>
      <w:sz w:val="28"/>
      <w:szCs w:val="28"/>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SLA compliance report: All concessions</dc:title>
  <dc:creator>#oneTRL Platform</dc:creator>
  <dc:description>Year to date, January to October 2026</dc:description>
  <cp:lastModifiedBy>Un-named</cp:lastModifiedBy>
  <cp:revision>1</cp:revision>
  <dcterms:created xsi:type="dcterms:W3CDTF">2026-10-22T22:34:07.638Z</dcterms:created>
  <dcterms:modified xsi:type="dcterms:W3CDTF">2026-10-22T22:34:07.638Z</dcterms:modified>
</cp:coreProperties>
</file>

<file path=docProps/custom.xml><?xml version="1.0" encoding="utf-8"?>
<Properties xmlns="http://schemas.openxmlformats.org/officeDocument/2006/custom-properties" xmlns:vt="http://schemas.openxmlformats.org/officeDocument/2006/docPropsVTypes"/>
</file>