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Sustainability report</w:t>
      </w:r>
    </w:p>
    <w:p>
      <w:pPr>
        <w:spacing w:after="60"/>
      </w:pPr>
      <w:r>
        <w:rPr>
          <w:rFonts w:ascii="Familjen Grotesk" w:cs="Familjen Grotesk" w:eastAsia="Familjen Grotesk" w:hAnsi="Familjen Grotesk"/>
          <w:b/>
          <w:bCs/>
          <w:sz w:val="26"/>
          <w:szCs w:val="26"/>
        </w:rPr>
        <w:t xml:space="preserve">All concessions</w:t>
      </w:r>
    </w:p>
    <w:p>
      <w:pPr>
        <w:spacing w:after="240"/>
      </w:pPr>
      <w:r>
        <w:rPr>
          <w:color w:val="646c87"/>
        </w:rPr>
        <w:t xml:space="preserve">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Style w:val="Heading2"/>
      </w:pPr>
      <w:r>
        <w:t xml:space="preserve">Summary</w:t>
      </w:r>
    </w:p>
    <w:p>
      <w:pPr>
        <w:spacing w:after="160"/>
      </w:pPr>
      <w:r>
        <w:t xml:space="preserve">This report sets out environmental performance across the network: operations carbon against the approved target, the indicators behind it, and where each concession stands.</w:t>
      </w:r>
    </w:p>
    <w:p>
      <w:pPr>
        <w:spacing w:after="160"/>
      </w:pPr>
      <w:r>
        <w:t xml:space="preserve">The group is on target for sustainability: 1 of 1 headline KPI on target. Operations carbon is 1.72 against a target of 1.80 or lower (on target). Of 3 supporting indicators, 1 is on target, 2 on watch and 0 off target. Furthest from target for Operations carbon: Ruta Portuaria, Ruta 27, ACEGA / AP-53.</w:t>
      </w:r>
    </w:p>
    <w:p>
      <w:pPr>
        <w:pStyle w:val="Heading2"/>
      </w:pPr>
      <w:r>
        <w:t xml:space="preserve">Headline KPIs</w:t>
      </w:r>
    </w:p>
    <w:tbl>
      <w:tblPr>
        <w:tblW w:type="dxa" w:w="9706"/>
        <w:tblBorders>
          <w:top w:val="none" w:color="FFFFFF" w:sz="0"/>
          <w:left w:val="none" w:color="FFFFFF" w:sz="0"/>
          <w:bottom w:val="none" w:color="FFFFFF" w:sz="0"/>
          <w:right w:val="none" w:color="FFFFFF" w:sz="0"/>
          <w:insideH w:val="none" w:color="FFFFFF" w:sz="0"/>
          <w:insideV w:val="single" w:color="FFFFFF" w:sz="12"/>
        </w:tblBorders>
        <w:tblLayout w:type="fixed"/>
      </w:tblPr>
      <w:tblGrid>
        <w:gridCol w:w="9706"/>
      </w:tblGrid>
      <w:tr>
        <w:tc>
          <w:tcPr>
            <w:tcW w:type="dxa" w:w="9706"/>
            <w:shd w:fill="f3f5fb" w:color="auto" w:val="clear"/>
            <w:tcMar>
              <w:top w:type="dxa" w:w="140"/>
              <w:left w:type="dxa" w:w="180"/>
              <w:bottom w:type="dxa" w:w="140"/>
              <w:right w:type="dxa" w:w="180"/>
            </w:tcMar>
          </w:tcPr>
          <w:p>
            <w:r>
              <w:rPr>
                <w:color w:val="646c87"/>
                <w:sz w:val="18"/>
                <w:szCs w:val="18"/>
              </w:rPr>
              <w:t xml:space="preserve">Operations carbon</w:t>
            </w:r>
          </w:p>
          <w:p>
            <w:pPr>
              <w:spacing w:after="40" w:before="60"/>
            </w:pPr>
            <w:r>
              <w:rPr>
                <w:rFonts w:ascii="Familjen Grotesk" w:cs="Familjen Grotesk" w:eastAsia="Familjen Grotesk" w:hAnsi="Familjen Grotesk"/>
                <w:b/>
                <w:bCs/>
                <w:color w:val="101348"/>
                <w:sz w:val="40"/>
                <w:szCs w:val="40"/>
              </w:rPr>
              <w:t xml:space="preserve">1.72</w:t>
            </w:r>
          </w:p>
          <w:p>
            <w:r>
              <w:rPr>
                <w:b/>
                <w:bCs/>
                <w:color w:val="006345"/>
              </w:rPr>
              <w:t xml:space="preserve">● On target</w:t>
            </w:r>
            <w:r>
              <w:rPr>
                <w:color w:val="646c87"/>
                <w:sz w:val="18"/>
                <w:szCs w:val="18"/>
              </w:rPr>
              <w:t xml:space="preserve">   Target 1.80 or lower</w:t>
            </w:r>
          </w:p>
        </w:tc>
      </w:tr>
    </w:tbl>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KPI</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Change vs September</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Operations carbon, tCO₂e per lane-km, YTD (fuel and energy)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1.80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+0.11</w:t>
            </w:r>
          </w:p>
        </w:tc>
      </w:tr>
    </w:tbl>
    <w:p/>
    <w:p>
      <w:pPr>
        <w:pStyle w:val="Heading2"/>
      </w:pPr>
      <w:r>
        <w:t xml:space="preserve">Operations carbon by concession</w:t>
      </w:r>
    </w:p>
    <w:p>
      <w:pPr>
        <w:spacing w:after="160"/>
      </w:pPr>
      <w:r>
        <w:t xml:space="preserve">Every concession against the target of 1.80 or lower,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2.09</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1.96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1.88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1.83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1.71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1.62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1.52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1.41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1.33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Supporting indicators</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Indicator</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Three-month trend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Environmental incidents (spills, water pollution), YTD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Litter and debris response time, median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3.1 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4.0 h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Recycled material in works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25%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bl>
    <w:p/>
    <w:p>
      <w:pPr>
        <w:pStyle w:val="Heading2"/>
      </w:pPr>
      <w:r>
        <w:t xml:space="preserve">About this report</w:t>
      </w:r>
    </w:p>
    <w:p>
      <w:pPr>
        <w:pStyle w:val="ListParagraph"/>
        <w:numPr>
          <w:ilvl w:val="0"/>
          <w:numId w:val="1"/>
        </w:numPr>
        <w:spacing w:after="80"/>
      </w:pPr>
      <w:r>
        <w:t xml:space="preserve">Period: Year to date, January to October 2026. Changes compare October with September.</w:t>
      </w:r>
    </w:p>
    <w:p>
      <w:pPr>
        <w:pStyle w:val="ListParagraph"/>
        <w:numPr>
          <w:ilvl w:val="0"/>
          <w:numId w:val="1"/>
        </w:numPr>
        <w:spacing w:after="80"/>
      </w:pPr>
      <w:r>
        <w:t xml:space="preserve">On target meets the approved target. Watch is between the target and the watch threshold. Off target is beyond the watch threshold.</w:t>
      </w:r>
    </w:p>
    <w:p>
      <w:pPr>
        <w:pStyle w:val="ListParagraph"/>
        <w:numPr>
          <w:ilvl w:val="0"/>
          <w:numId w:val="1"/>
        </w:numPr>
        <w:spacing w:after="80"/>
      </w:pPr>
      <w:r>
        <w:t xml:space="preserve">A theme takes the status of its weakest headline KPI.</w:t>
      </w:r>
    </w:p>
    <w:p>
      <w:pPr>
        <w:pStyle w:val="ListParagraph"/>
        <w:numPr>
          <w:ilvl w:val="0"/>
          <w:numId w:val="1"/>
        </w:numPr>
        <w:spacing w:after="80"/>
      </w:pPr>
      <w:r>
        <w:t xml:space="preserve">Platform requirements covered (tender references): BI-05.</w:t>
      </w:r>
    </w:p>
    <w:p>
      <w:pPr>
        <w:pStyle w:val="ListParagraph"/>
        <w:numPr>
          <w:ilvl w:val="0"/>
          <w:numId w:val="1"/>
        </w:numPr>
        <w:spacing w:after="80"/>
      </w:pPr>
      <w:r>
        <w:t xml:space="preserve">Light-touch theme for now: one headline KPI and three supporting indicators, fed into ESG reporting (BI-05).</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BDC18515-221E-EE01-F7D3-3DF344BA8224}"/>
    <w:embedBold r:id="rId2" w:fontKey="{499C50A8-CBF8-DEA6-54E5-045937B621E5}"/>
  </w:font>
  <w:font w:name="Familjen Grotesk">
    <w:family w:val="auto"/>
    <w:pitch w:val="variable"/>
    <w:sig w:usb0="E0002AFF" w:usb1="C000247B" w:usb2="00000009" w:usb3="00000000" w:csb0="000001FF" w:csb1="00000000"/>
    <w:embedRegular r:id="rId3" w:fontKey="{281151AD-1F95-D42C-3309-1714850A8C30}"/>
    <w:embedBold r:id="rId4" w:fontKey="{F4C2E3CC-F87E-42A7-FC2B-DDAB46BF28A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Sustainability report, All concessions.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report: All concessions</dc:title>
  <dc:creator>#oneTRL Platform</dc:creator>
  <dc:description>Year to date, January to October 2026</dc:description>
  <cp:lastModifiedBy>Un-named</cp:lastModifiedBy>
  <cp:revision>1</cp:revision>
  <dcterms:created xsi:type="dcterms:W3CDTF">2026-10-22T22:25:28.749Z</dcterms:created>
  <dcterms:modified xsi:type="dcterms:W3CDTF">2026-10-22T22:25:28.749Z</dcterms:modified>
</cp:coreProperties>
</file>

<file path=docProps/custom.xml><?xml version="1.0" encoding="utf-8"?>
<Properties xmlns="http://schemas.openxmlformats.org/officeDocument/2006/custom-properties" xmlns:vt="http://schemas.openxmlformats.org/officeDocument/2006/docPropsVTypes"/>
</file>